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8" w:lineRule="atLeast"/>
        <w:ind w:lef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202</w:t>
      </w:r>
      <w:r>
        <w:rPr>
          <w:rStyle w:val="7"/>
          <w:rFonts w:hint="eastAsia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年黄浦杯征文启事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8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各中小学、幼儿园：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24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南京市教科所正在开展202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年黄浦杯征文评选，现将有关事宜通知如下：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一、 申报方式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308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请先按市要求完成市网报，获得市网报编号后进行区网报。请使用火狐浏览器登录南京教育政务平台，找到“教科研平台”图标，进入相应评比端口进行区网报。区网报文件以“文章主标题”命名，以pdf形式上传，注意要匿名。通过区评推荐的文章将由区教科所统一上报给市教科所。教师申报无需单独再发邮箱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二、市、区网报时间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146" w:lineRule="atLeast"/>
        <w:ind w:left="0" w:right="0" w:firstLine="188"/>
        <w:rPr>
          <w:rFonts w:hint="default" w:ascii="Helvetica" w:hAnsi="Helvetica" w:eastAsia="Helvetica" w:cs="Helvetica"/>
          <w:i w:val="0"/>
          <w:iCs w:val="0"/>
          <w:caps w:val="0"/>
          <w:color w:val="C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:00点至20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日1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color="auto" w:fill="FFFFFF"/>
        </w:rPr>
        <w:t>:00。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188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具体申报流程请关注南京市教科所网站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三、评审进度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1.校评：5月1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日22:00前截止，请注意在市区网报时间截止后，校审驳回的文章无法再次上传。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2.区评：5月1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日-5月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日组织初评和复评。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45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玄武区教科所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45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4"/>
          <w:szCs w:val="24"/>
          <w:shd w:val="clear" w:fill="FFFFFF"/>
        </w:rPr>
        <w:t>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38" w:afterAutospacing="0" w:line="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附： 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2"/>
          <w:szCs w:val="12"/>
          <w:shd w:val="clear" w:fill="FFFFFF"/>
        </w:rPr>
        <w:t>    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12"/>
          <w:szCs w:val="12"/>
          <w:shd w:val="clear" w:fill="FFFFFF"/>
        </w:rPr>
        <w:t>     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年“黄浦杯”长三角城市群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走向融合</w:t>
      </w:r>
      <w:r>
        <w:rPr>
          <w:rFonts w:hint="eastAsia"/>
          <w:b/>
          <w:bCs/>
          <w:sz w:val="32"/>
          <w:szCs w:val="32"/>
        </w:rPr>
        <w:t>”征文启事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促进知识与能力、过程与方法、情感态度价值观的融合，是培养正确价值观、关键能力和必备品格的必然趋势，也是落实课程改革精神，发展素质教育的必然要求。这就需要突破以往“单一”“分割”式的原子式的思维，采用综合、系统式的思维，将学生看成一个复杂的生命体，将教育看成一个融合了各要素综合实施的过程，这是一个系统性的变革。为了撷取实践智慧，回应新时代教育大变革的要求，长三角城市群教育科研协作共同体、上海市教科院普教所、上海市黄浦区教育局与《上海教育科研》编辑部联合举办2024年“黄浦杯”长三角城市群“走向融合”征文活动，欢迎广大校(园)长、教师、教科研人员、教育管理人员和高校师生参加。</w:t>
      </w:r>
    </w:p>
    <w:p>
      <w:pPr>
        <w:pStyle w:val="8"/>
        <w:ind w:firstLine="36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</w:pPr>
    </w:p>
    <w:p>
      <w:pPr>
        <w:pStyle w:val="8"/>
        <w:ind w:firstLine="36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  <w:t>主题阐释</w:t>
      </w:r>
    </w:p>
    <w:p>
      <w:pPr>
        <w:pStyle w:val="8"/>
        <w:ind w:firstLine="36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融合是相对于“单一”“割裂”而言的，同时与综合有别。综合是将不同类别、性质的事物归并在一起，融合是将不同的事物合成一体，二者在程度与性质上有所不同。如“五育融合”不是德育、智育、体育、美育、劳动教育的简单拼凑与整合，而是实现“五育”之间的有机渗透，即“你中有我，我中有你”。素养培育不是知识与能力、过程与方法、情感态度价值观的分别培养或简单相加，而是在教育过程中进行一体化培养。就“五育融合”问题而言，关键是要解决“疏德”“偏智”“弱体”“抑美”“缺劳”,以及各育之间的“彼此分离”“相互割裂”“互不相关”等痼疾。就素养培育问题而言，关键是要解决重应试技巧的训练，忽视知识逻辑与知识价值的学习，忽视结构化、系统化地学习，忽视用中学、做中学、创中学，忽视学科间及学科与生活的联系等。要促进真正的融合，就要运用系统思维，找到契合点或切入点，既要平衡各要素的关系，又能一体化实施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  <w:t>选材范围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——五育融合课程体系建设。为了落实立德树人根本任务，围绕学生全面发展、素养提升，区域或学校探索德育、智育、体育、美育、劳动教育五育融合的课程体系及推进机制，不仅五育并举，而且处理好五育之间的关系，使之成为一体化的育人体系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——国家课程校本化实施。根据五育融合、素养培育的要求，探索国家课程校本化实施方案，在学校课程方案研制、校本课程建设等方面形成典型案例与有效做法。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——课堂教学变革。探索核心素养目标的转化落实、学科实践、单元教学、跨学科主题学习，体现学科育人价值，形成素养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导向的课堂样态，体现课堂育人、学科育人。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——教育评价改革。围绕核心素养和五育融合，探索区域教育质量监测、督导评估和学校教育教学评价改革，包括作业设计、命题设计，改进结果性评价、强化综合性评价、优化过程性评价、探索增值性评价、推进表现性评价等方面，提供可借鉴的案例与经验。学校治理变革。激发办学活力和家长、社会参与教育的积极性，开展区域教育行政和学校内部管理的体制机制改革，形成家庭、学校和社会协同育人机制，总结有效的治理样例，创建良好的育人生态。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注意事项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1.文体。文体不拘，可以是学术论文、研究报告、叙事性案例、经验总结等表述形式。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2.篇幅。5000字左右为宜，未经公开发表。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3.本次征文设一、二、三等奖若干名。获奖文章均颁发获奖证书，部分文章可能在《上海教育科研》杂志发表，或在华东师范大学出版社结集出版。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4.严禁抄袭。如发现参评文章存有学术不端情况(检测方式包括但不限于知网查重系统),将与所在单位和地区教育部门取得联系，作出严肃处理。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本次征文不收取任何费用。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注意事项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符合征文主题要求。切题（围绕五育融合谈培育过程与方法的融合，谈结果与成效的融合。体现破界、渗透与生成），规范（符合文体基本要求，体现论文、主题性总结、案例研究的特征），价值（提出的观点、方法有启发意义，具有实践价值与理论价值）。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.文体。文体不拘，可以是学术论文、研究报告、叙事性案例、经验总结等表述形式。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.篇幅。5000字左右为宜。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.原创性。未在省市级以上报刊杂志公开发表。严禁抄袭。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.参评对象。中小幼校（园）长与教师、教科研人员。</w:t>
      </w:r>
    </w:p>
    <w:p>
      <w:pPr>
        <w:pStyle w:val="8"/>
        <w:ind w:firstLine="36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本次征文不收取任何费用。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right="0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188"/>
        <w:jc w:val="right"/>
        <w:textAlignment w:val="center"/>
        <w:rPr>
          <w:rFonts w:hint="default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  <w:t>南京市教育科学研究所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188"/>
        <w:jc w:val="right"/>
        <w:textAlignment w:val="center"/>
        <w:rPr>
          <w:rFonts w:hint="default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  <w:t>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 w:bidi="ar-S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20B0604020202020204"/>
    <w:charset w:val="86"/>
    <w:family w:val="roman"/>
    <w:pitch w:val="default"/>
    <w:sig w:usb0="00000000" w:usb1="00000000" w:usb2="00000016" w:usb3="00000000" w:csb0="000600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mIwOTI1YTFiNzM4NmJjMzAzZGIyNGU0ZWM0OGUifQ=="/>
  </w:docVars>
  <w:rsids>
    <w:rsidRoot w:val="00000000"/>
    <w:rsid w:val="147A17CF"/>
    <w:rsid w:val="2366189C"/>
    <w:rsid w:val="27E94ABE"/>
    <w:rsid w:val="32930654"/>
    <w:rsid w:val="5C0F1DCA"/>
    <w:rsid w:val="5E7D74BF"/>
    <w:rsid w:val="638E5CCA"/>
    <w:rsid w:val="6B0D1BCA"/>
    <w:rsid w:val="6CF03552"/>
    <w:rsid w:val="709D579F"/>
    <w:rsid w:val="71E642BB"/>
    <w:rsid w:val="72496DC3"/>
    <w:rsid w:val="745D771F"/>
    <w:rsid w:val="7BDC361F"/>
    <w:rsid w:val="7C3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2024-04-16T06:40:00Z</dcterms:created>
  <dc:creator>赵凯宁</dc:creator>
  <cp:lastModifiedBy>沈婷婷</cp:lastModifiedBy>
  <dcterms:modified xsi:type="dcterms:W3CDTF">2024-04-16T06:50:36Z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C432C8FE17A9441DA28E206C4A9F51EF_12</vt:lpwstr>
  </property>
</Properties>
</file>